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A9" w:rsidRDefault="004E5224">
      <w:pPr>
        <w:spacing w:after="0" w:line="240" w:lineRule="auto"/>
        <w:ind w:left="720" w:firstLine="27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635</wp:posOffset>
            </wp:positionV>
            <wp:extent cx="6622415" cy="93618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415" cy="936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CA9" w:rsidRDefault="004E5224">
      <w:pPr>
        <w:pStyle w:val="aa"/>
        <w:spacing w:line="276" w:lineRule="auto"/>
        <w:jc w:val="center"/>
      </w:pPr>
      <w:r>
        <w:rPr>
          <w:b/>
          <w:bCs/>
          <w:sz w:val="28"/>
          <w:szCs w:val="28"/>
        </w:rPr>
        <w:lastRenderedPageBreak/>
        <w:t>Пояснительная записка.</w:t>
      </w:r>
    </w:p>
    <w:p w:rsidR="007F4CA9" w:rsidRDefault="004E5224">
      <w:pPr>
        <w:pStyle w:val="aa"/>
        <w:shd w:val="clear" w:color="auto" w:fill="FFFFFF"/>
        <w:spacing w:beforeAutospacing="0" w:after="0" w:afterAutospacing="0" w:line="276" w:lineRule="auto"/>
        <w:ind w:firstLine="851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Любая современная педагогическая технология - это синтез достижений </w:t>
      </w:r>
      <w:r>
        <w:rPr>
          <w:i/>
          <w:sz w:val="28"/>
          <w:szCs w:val="28"/>
        </w:rPr>
        <w:t>педагогической науки и практики</w:t>
      </w:r>
      <w:r>
        <w:rPr>
          <w:sz w:val="28"/>
          <w:szCs w:val="28"/>
        </w:rPr>
        <w:t xml:space="preserve">, сочетание традиционных элементов прошлого и современного педагогического опыта. </w:t>
      </w:r>
      <w:r>
        <w:rPr>
          <w:color w:val="000000" w:themeColor="text1"/>
          <w:sz w:val="28"/>
          <w:szCs w:val="28"/>
        </w:rPr>
        <w:t xml:space="preserve">Интегрированный урок — это учебное занятие, на </w:t>
      </w:r>
      <w:r>
        <w:rPr>
          <w:color w:val="000000" w:themeColor="text1"/>
          <w:sz w:val="28"/>
          <w:szCs w:val="28"/>
        </w:rPr>
        <w:t>котором обозначенная тема рассматривается с различных точек зрения, средствами нескольких предметов (курсов). Его могут проводить как один, так и несколько педагогов.</w:t>
      </w:r>
    </w:p>
    <w:p w:rsidR="007F4CA9" w:rsidRDefault="004E5224">
      <w:pPr>
        <w:pStyle w:val="aa"/>
        <w:shd w:val="clear" w:color="auto" w:fill="FFFFFF"/>
        <w:spacing w:beforeAutospacing="0" w:after="0" w:afterAutospacing="0" w:line="276" w:lineRule="auto"/>
        <w:ind w:firstLine="708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Преимущества многопредметного интегрированного урока перед традиционным </w:t>
      </w:r>
      <w:proofErr w:type="gramStart"/>
      <w:r>
        <w:rPr>
          <w:color w:val="000000" w:themeColor="text1"/>
          <w:sz w:val="28"/>
          <w:szCs w:val="28"/>
        </w:rPr>
        <w:t>очевидны:  можно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создать более благоприятные условия для развития самых разных интеллектуальных умений учащихся, через него можно выйти на формирование более широкого мышления, научить применению теоретических знаний в практической жизни, в конкретных  профессиональных  си</w:t>
      </w:r>
      <w:r>
        <w:rPr>
          <w:color w:val="000000" w:themeColor="text1"/>
          <w:sz w:val="28"/>
          <w:szCs w:val="28"/>
        </w:rPr>
        <w:t>туациях</w:t>
      </w:r>
    </w:p>
    <w:p w:rsidR="007F4CA9" w:rsidRDefault="004E5224">
      <w:pPr>
        <w:pStyle w:val="aa"/>
        <w:shd w:val="clear" w:color="auto" w:fill="FFFFFF"/>
        <w:spacing w:beforeAutospacing="0" w:after="0" w:afterAutospacing="0" w:line="276" w:lineRule="auto"/>
        <w:ind w:firstLine="851"/>
        <w:jc w:val="both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интегрированной образовательной технологии наиболее интересны </w:t>
      </w:r>
      <w:r>
        <w:rPr>
          <w:rStyle w:val="a3"/>
          <w:color w:val="000000" w:themeColor="text1"/>
          <w:sz w:val="28"/>
          <w:szCs w:val="28"/>
        </w:rPr>
        <w:t>бинарные уроки</w:t>
      </w:r>
      <w:r>
        <w:rPr>
          <w:color w:val="000000" w:themeColor="text1"/>
          <w:sz w:val="28"/>
          <w:szCs w:val="28"/>
        </w:rPr>
        <w:t xml:space="preserve">, основанные на </w:t>
      </w:r>
      <w:proofErr w:type="spellStart"/>
      <w:r>
        <w:rPr>
          <w:color w:val="000000" w:themeColor="text1"/>
          <w:sz w:val="28"/>
          <w:szCs w:val="28"/>
        </w:rPr>
        <w:t>межпредметных</w:t>
      </w:r>
      <w:proofErr w:type="spellEnd"/>
      <w:r>
        <w:rPr>
          <w:color w:val="000000" w:themeColor="text1"/>
          <w:sz w:val="28"/>
          <w:szCs w:val="28"/>
        </w:rPr>
        <w:t xml:space="preserve"> связях, так как предполагают использование сплава из различных педагогических технологий.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Главной чертой проведения бинарных уроков 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системе среднего профессионального образования является их практико-ориентированная направленность и содержательность, совокупное формирование различных компетенций общей и профессиональной значимости, подготовка профессионала с творческим подходом к реше</w:t>
      </w:r>
      <w:r>
        <w:rPr>
          <w:color w:val="000000" w:themeColor="text1"/>
          <w:sz w:val="28"/>
          <w:szCs w:val="28"/>
          <w:shd w:val="clear" w:color="auto" w:fill="FFFFFF"/>
        </w:rPr>
        <w:t>нию поставленных задач</w:t>
      </w:r>
    </w:p>
    <w:p w:rsidR="007F4CA9" w:rsidRDefault="004E5224">
      <w:pPr>
        <w:shd w:val="clear" w:color="auto" w:fill="FFFFFF"/>
        <w:spacing w:after="0"/>
        <w:ind w:firstLine="851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Бинарные уроки – одна из форм реализации связей между дисциплинами и профессиональными модулями. Это нетрадиционный вид урока. Проводится анализ учебного материала двух и более дисциплин или профессиональных модулей, с целью определ</w:t>
      </w:r>
      <w:r>
        <w:rPr>
          <w:rFonts w:ascii="Times New Roman" w:hAnsi="Times New Roman" w:cs="Times New Roman"/>
          <w:sz w:val="28"/>
          <w:szCs w:val="28"/>
        </w:rPr>
        <w:t xml:space="preserve">ения общей темы, которая будет основой такого урока.  Бинарные уроки повышают потенциал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ведут к осмыслению и нахождению причинно-следственных связей, к развитию логики, мышления, коммуникативных способностей. Они формируют умения сравнивать, обо</w:t>
      </w:r>
      <w:r>
        <w:rPr>
          <w:rFonts w:ascii="Times New Roman" w:hAnsi="Times New Roman" w:cs="Times New Roman"/>
          <w:sz w:val="28"/>
          <w:szCs w:val="28"/>
        </w:rPr>
        <w:t xml:space="preserve">бщать и делать выводы; </w:t>
      </w:r>
      <w:r>
        <w:rPr>
          <w:rFonts w:ascii="Times New Roman" w:eastAsia="Times New Roman" w:hAnsi="Times New Roman" w:cs="Times New Roman"/>
          <w:color w:val="000000"/>
          <w:sz w:val="28"/>
        </w:rPr>
        <w:t>способствуют формированию у учащихся убеждения в связности предметов, в целостности мира;</w:t>
      </w:r>
      <w:r>
        <w:rPr>
          <w:rFonts w:eastAsia="Times New Roman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повышают мотивацию к изучению предметов, т. к. создают условия для практического применения знаний.</w:t>
      </w:r>
    </w:p>
    <w:p w:rsidR="007F4CA9" w:rsidRDefault="004E522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CA9" w:rsidRDefault="004E522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F4CA9" w:rsidRDefault="007F4CA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CA9" w:rsidRDefault="007F4CA9">
      <w:pPr>
        <w:shd w:val="clear" w:color="auto" w:fill="FFFFFF"/>
        <w:spacing w:after="0"/>
        <w:ind w:firstLine="708"/>
        <w:jc w:val="both"/>
        <w:rPr>
          <w:b/>
          <w:bCs/>
          <w:sz w:val="28"/>
          <w:szCs w:val="28"/>
        </w:rPr>
      </w:pPr>
    </w:p>
    <w:p w:rsidR="007F4CA9" w:rsidRDefault="004E5224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lastRenderedPageBreak/>
        <w:t>1.Общее положение о конкурсе деловых игр для председателей цикловых методических комиссий.</w:t>
      </w:r>
    </w:p>
    <w:p w:rsidR="007F4CA9" w:rsidRDefault="004E52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заочного смотра-</w:t>
      </w:r>
      <w:proofErr w:type="gramStart"/>
      <w:r>
        <w:rPr>
          <w:rFonts w:ascii="Times New Roman" w:hAnsi="Times New Roman"/>
          <w:sz w:val="28"/>
          <w:szCs w:val="28"/>
        </w:rPr>
        <w:t xml:space="preserve">конкурса  </w:t>
      </w:r>
      <w:r>
        <w:rPr>
          <w:rFonts w:ascii="Times New Roman" w:hAnsi="Times New Roman"/>
          <w:sz w:val="28"/>
          <w:szCs w:val="28"/>
        </w:rPr>
        <w:t>методических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разработок бинарных (интегрированных) занятий  среди преподавателей средних медицинских образовательных организаций  Приволжского Федерального округа</w:t>
      </w:r>
      <w:r>
        <w:rPr>
          <w:rFonts w:ascii="Times New Roman" w:hAnsi="Times New Roman"/>
          <w:b/>
          <w:bCs/>
          <w:sz w:val="30"/>
          <w:szCs w:val="30"/>
        </w:rPr>
        <w:t>.</w:t>
      </w:r>
      <w:r>
        <w:rPr>
          <w:rFonts w:ascii="Times New Roman" w:hAnsi="Times New Roman"/>
          <w:sz w:val="28"/>
          <w:szCs w:val="28"/>
        </w:rPr>
        <w:t xml:space="preserve">  Данное </w:t>
      </w:r>
      <w:proofErr w:type="gramStart"/>
      <w:r>
        <w:rPr>
          <w:rFonts w:ascii="Times New Roman" w:hAnsi="Times New Roman"/>
          <w:sz w:val="28"/>
          <w:szCs w:val="28"/>
        </w:rPr>
        <w:t>положение  устанавливает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 к методразработкам, представленным на конкурс, р</w:t>
      </w:r>
      <w:r>
        <w:rPr>
          <w:rFonts w:ascii="Times New Roman" w:hAnsi="Times New Roman"/>
          <w:sz w:val="28"/>
          <w:szCs w:val="28"/>
        </w:rPr>
        <w:t>егламентирует  порядок предоставления конкурсных работ,  критерии их оценки и  порядок определения  победителей  данного  смотра - конкурса.</w:t>
      </w:r>
    </w:p>
    <w:p w:rsidR="007F4CA9" w:rsidRDefault="004E52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>
        <w:rPr>
          <w:rFonts w:ascii="Times New Roman" w:hAnsi="Times New Roman"/>
          <w:sz w:val="28"/>
          <w:szCs w:val="28"/>
        </w:rPr>
        <w:t xml:space="preserve">Конкурс проводится в соответствии с планом работы </w:t>
      </w:r>
      <w:proofErr w:type="gramStart"/>
      <w:r>
        <w:rPr>
          <w:rFonts w:ascii="Times New Roman" w:hAnsi="Times New Roman"/>
          <w:sz w:val="28"/>
          <w:szCs w:val="28"/>
        </w:rPr>
        <w:t>совета  директоров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средних медицинских образовательных  учреж</w:t>
      </w:r>
      <w:r>
        <w:rPr>
          <w:rFonts w:ascii="Times New Roman" w:hAnsi="Times New Roman"/>
          <w:sz w:val="28"/>
          <w:szCs w:val="28"/>
        </w:rPr>
        <w:t>дений  Приволжского Федерального округа на  2020 /21 учебный год.</w:t>
      </w:r>
    </w:p>
    <w:p w:rsidR="007F4CA9" w:rsidRDefault="004E52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>
        <w:rPr>
          <w:rFonts w:ascii="Times New Roman" w:hAnsi="Times New Roman"/>
          <w:sz w:val="28"/>
          <w:szCs w:val="28"/>
        </w:rPr>
        <w:t xml:space="preserve">Организатором конкурса </w:t>
      </w:r>
      <w:proofErr w:type="gramStart"/>
      <w:r>
        <w:rPr>
          <w:rFonts w:ascii="Times New Roman" w:hAnsi="Times New Roman"/>
          <w:sz w:val="28"/>
          <w:szCs w:val="28"/>
        </w:rPr>
        <w:t>является  ГБОУ</w:t>
      </w:r>
      <w:proofErr w:type="gramEnd"/>
      <w:r>
        <w:rPr>
          <w:rFonts w:ascii="Times New Roman" w:hAnsi="Times New Roman"/>
          <w:sz w:val="28"/>
          <w:szCs w:val="28"/>
        </w:rPr>
        <w:t xml:space="preserve">  ПО  « Пензенский  областной медицинский  колледж».  Для организации и проведения конкурса создан оргкомитет.</w:t>
      </w:r>
    </w:p>
    <w:p w:rsidR="007F4CA9" w:rsidRDefault="004E52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Цели  конкурса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7F4CA9" w:rsidRDefault="004E5224">
      <w:pPr>
        <w:pStyle w:val="ab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содержания образования в условиях реализации требований ФГ'ОС СПО   через формирование современного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комплексного  учебно</w:t>
      </w:r>
      <w:proofErr w:type="gramEnd"/>
      <w:r>
        <w:rPr>
          <w:rFonts w:ascii="Times New Roman" w:hAnsi="Times New Roman" w:cs="Times New Roman"/>
          <w:sz w:val="28"/>
          <w:szCs w:val="28"/>
        </w:rPr>
        <w:t>-методического обеспечения     реализуемых образовательных  программ  подготовки  специалистов среднего звена.</w:t>
      </w:r>
    </w:p>
    <w:p w:rsidR="007F4CA9" w:rsidRDefault="004E5224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мастерства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реализация творческих    возможностей  преподавателей  колледжей.</w:t>
      </w:r>
    </w:p>
    <w:p w:rsidR="007F4CA9" w:rsidRDefault="004E5224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Повышение научно-теоретического уровня и улучшение учебно-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методического 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колледжах. </w:t>
      </w:r>
    </w:p>
    <w:p w:rsidR="007F4CA9" w:rsidRDefault="004E5224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Выявление, отбор и содействие внедрению</w:t>
      </w:r>
      <w:r>
        <w:rPr>
          <w:sz w:val="28"/>
          <w:szCs w:val="28"/>
        </w:rPr>
        <w:t xml:space="preserve"> в образовательный процесс современных методических разработок, способствующих повышению результативности образовательной деятельности на основе применения современных </w:t>
      </w:r>
      <w:proofErr w:type="gramStart"/>
      <w:r>
        <w:rPr>
          <w:sz w:val="28"/>
          <w:szCs w:val="28"/>
        </w:rPr>
        <w:t>образовательных  технологий</w:t>
      </w:r>
      <w:proofErr w:type="gramEnd"/>
      <w:r>
        <w:rPr>
          <w:sz w:val="28"/>
          <w:szCs w:val="28"/>
        </w:rPr>
        <w:t xml:space="preserve">. </w:t>
      </w:r>
    </w:p>
    <w:p w:rsidR="007F4CA9" w:rsidRDefault="004E5224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Развитие  педагогики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сотрудничества а также стремления пре</w:t>
      </w:r>
      <w:r>
        <w:rPr>
          <w:rFonts w:ascii="Times New Roman" w:eastAsia="Times New Roman" w:hAnsi="Times New Roman" w:cs="Times New Roman"/>
          <w:sz w:val="28"/>
          <w:szCs w:val="28"/>
        </w:rPr>
        <w:t>подавателей  к поиску новых форм и способов работы.</w:t>
      </w:r>
    </w:p>
    <w:p w:rsidR="007F4CA9" w:rsidRDefault="007F4CA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F4CA9" w:rsidRDefault="004E52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1.5    </w:t>
      </w:r>
      <w:r>
        <w:rPr>
          <w:rFonts w:ascii="Times New Roman" w:hAnsi="Times New Roman"/>
          <w:b/>
          <w:sz w:val="28"/>
          <w:szCs w:val="28"/>
        </w:rPr>
        <w:t>Задачи конкурса: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4CA9" w:rsidRDefault="004E5224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распространение эффективного педагогического опыта в создании  методического сопровождения учебного процесса;</w:t>
      </w:r>
    </w:p>
    <w:p w:rsidR="007F4CA9" w:rsidRDefault="004E5224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совершенствование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взаимодействия медицинских и </w:t>
      </w:r>
      <w:r>
        <w:rPr>
          <w:rFonts w:ascii="Times New Roman" w:hAnsi="Times New Roman"/>
          <w:sz w:val="28"/>
          <w:szCs w:val="28"/>
        </w:rPr>
        <w:t xml:space="preserve">фармацевтических </w:t>
      </w:r>
      <w:r>
        <w:rPr>
          <w:rFonts w:ascii="Times New Roman" w:hAnsi="Times New Roman"/>
          <w:sz w:val="28"/>
          <w:szCs w:val="28"/>
        </w:rPr>
        <w:lastRenderedPageBreak/>
        <w:t>образовательных организаций среднего профессионального образования Приволжского федерального округа;</w:t>
      </w:r>
    </w:p>
    <w:p w:rsidR="007F4CA9" w:rsidRDefault="004E5224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благоприятного социально-психологического климата в педагогических коллективах;</w:t>
      </w:r>
    </w:p>
    <w:p w:rsidR="007F4CA9" w:rsidRDefault="004E5224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творческого потенциала и повышение профе</w:t>
      </w:r>
      <w:r>
        <w:rPr>
          <w:rFonts w:ascii="Times New Roman" w:hAnsi="Times New Roman" w:cs="Times New Roman"/>
          <w:sz w:val="28"/>
          <w:szCs w:val="28"/>
        </w:rPr>
        <w:t>ссиональной квалификации  преподавателей;</w:t>
      </w:r>
    </w:p>
    <w:p w:rsidR="007F4CA9" w:rsidRDefault="004E5224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педагогических работников в процессе   разработки и внедрения актуальных образовательных технологий в процесс обучения;</w:t>
      </w:r>
    </w:p>
    <w:p w:rsidR="007F4CA9" w:rsidRDefault="004E5224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выявления, поддержки и поощрения тала</w:t>
      </w:r>
      <w:r>
        <w:rPr>
          <w:rFonts w:ascii="Times New Roman" w:hAnsi="Times New Roman" w:cs="Times New Roman"/>
          <w:sz w:val="28"/>
          <w:szCs w:val="28"/>
        </w:rPr>
        <w:t>нтливых, творчески   работающих преподавателей, активно внедряющих в свою деятельность  современные образовательные, учебно-производственные и воспитательные практики.</w:t>
      </w:r>
    </w:p>
    <w:p w:rsidR="007F4CA9" w:rsidRDefault="007F4CA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CA9" w:rsidRDefault="004E5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 Участниками конкурса</w:t>
      </w:r>
      <w:r>
        <w:rPr>
          <w:rFonts w:ascii="Times New Roman" w:hAnsi="Times New Roman"/>
          <w:sz w:val="28"/>
          <w:szCs w:val="28"/>
        </w:rPr>
        <w:t xml:space="preserve"> могут </w:t>
      </w:r>
      <w:proofErr w:type="gramStart"/>
      <w:r>
        <w:rPr>
          <w:rFonts w:ascii="Times New Roman" w:hAnsi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всех учебных  дисциплин, междисципл</w:t>
      </w:r>
      <w:r>
        <w:rPr>
          <w:rFonts w:ascii="Times New Roman" w:hAnsi="Times New Roman" w:cs="Times New Roman"/>
          <w:sz w:val="28"/>
          <w:szCs w:val="28"/>
        </w:rPr>
        <w:t>инарных циклов  и профессиональных модулей, председатели  ЦМК, индивидуально или в соавторстве. Стаж педагогической работы, возраст, квалификационные характеристики участников не ограничиваются.  Участие в конкурсе организуется на добровольной основе.</w:t>
      </w:r>
    </w:p>
    <w:p w:rsidR="007F4CA9" w:rsidRDefault="007F4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CA9" w:rsidRDefault="004E52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Содержание смотра - конкурса и порядок его проведения.</w:t>
      </w:r>
    </w:p>
    <w:p w:rsidR="007F4CA9" w:rsidRDefault="004E52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Конкурс проводится в период </w:t>
      </w:r>
      <w:r>
        <w:rPr>
          <w:rFonts w:ascii="Times New Roman" w:hAnsi="Times New Roman"/>
          <w:b/>
          <w:sz w:val="28"/>
          <w:szCs w:val="28"/>
        </w:rPr>
        <w:t>с 15 ноября по 28 ноября</w:t>
      </w:r>
      <w:r>
        <w:rPr>
          <w:rFonts w:ascii="Times New Roman" w:hAnsi="Times New Roman"/>
          <w:sz w:val="28"/>
          <w:szCs w:val="28"/>
        </w:rPr>
        <w:t xml:space="preserve">. Количество участников от одной образовательной организации не ограничено. </w:t>
      </w:r>
    </w:p>
    <w:p w:rsidR="007F4CA9" w:rsidRDefault="004E522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сумме набранных баллов определяются победитель и призеры.</w:t>
      </w:r>
    </w:p>
    <w:p w:rsidR="007F4CA9" w:rsidRDefault="004E52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 Информация о результатах конкурса будет размещена на сайте ГБОУ ПО «Пензенский областной медицинский </w:t>
      </w:r>
      <w:proofErr w:type="gramStart"/>
      <w:r>
        <w:rPr>
          <w:rFonts w:ascii="Times New Roman" w:hAnsi="Times New Roman"/>
          <w:sz w:val="28"/>
          <w:szCs w:val="28"/>
        </w:rPr>
        <w:t>колледж»  pomc.58.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до 11 декабря.</w:t>
      </w:r>
    </w:p>
    <w:p w:rsidR="007F4CA9" w:rsidRDefault="004E52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 Для участия в конкурсе необходимо до </w:t>
      </w:r>
      <w:r>
        <w:rPr>
          <w:rFonts w:ascii="Times New Roman" w:hAnsi="Times New Roman"/>
          <w:b/>
          <w:sz w:val="28"/>
          <w:szCs w:val="28"/>
        </w:rPr>
        <w:t>28 ноября 2020 г</w:t>
      </w:r>
      <w:r>
        <w:rPr>
          <w:rFonts w:ascii="Times New Roman" w:hAnsi="Times New Roman"/>
          <w:sz w:val="28"/>
          <w:szCs w:val="28"/>
        </w:rPr>
        <w:t xml:space="preserve">. прислать на электронный адрес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pomc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 xml:space="preserve"> заявку</w:t>
      </w:r>
      <w:r>
        <w:rPr>
          <w:rFonts w:ascii="Times New Roman" w:hAnsi="Times New Roman"/>
          <w:sz w:val="28"/>
          <w:szCs w:val="28"/>
        </w:rPr>
        <w:t xml:space="preserve"> (Приложение №3) и конкурсную работу, сформированную в один архив (</w:t>
      </w:r>
      <w:r>
        <w:rPr>
          <w:rFonts w:ascii="Times New Roman" w:hAnsi="Times New Roman"/>
          <w:sz w:val="28"/>
          <w:szCs w:val="28"/>
          <w:lang w:val="en-US"/>
        </w:rPr>
        <w:t>zip</w:t>
      </w:r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  <w:r>
        <w:rPr>
          <w:rFonts w:ascii="Times New Roman" w:hAnsi="Times New Roman"/>
          <w:sz w:val="28"/>
          <w:szCs w:val="28"/>
        </w:rPr>
        <w:t>) с названием – Ф.И.О. автора, сокращенное наименование образовательной организации.</w:t>
      </w:r>
    </w:p>
    <w:p w:rsidR="007F4CA9" w:rsidRDefault="004E522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теме письма указать – «Смотр – конкурс  методразработок».</w:t>
      </w:r>
    </w:p>
    <w:p w:rsidR="007F4CA9" w:rsidRDefault="004E522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 xml:space="preserve">  Победители</w:t>
      </w:r>
      <w:proofErr w:type="gramEnd"/>
      <w:r>
        <w:rPr>
          <w:rFonts w:ascii="Times New Roman" w:hAnsi="Times New Roman"/>
          <w:sz w:val="28"/>
          <w:szCs w:val="28"/>
        </w:rPr>
        <w:t xml:space="preserve"> смотра - кон</w:t>
      </w:r>
      <w:r>
        <w:rPr>
          <w:rFonts w:ascii="Times New Roman" w:hAnsi="Times New Roman"/>
          <w:sz w:val="28"/>
          <w:szCs w:val="28"/>
        </w:rPr>
        <w:t xml:space="preserve">курса  награждаются дипломами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степени, участники - грамотами за участие в смотре - конкурсе.</w:t>
      </w:r>
    </w:p>
    <w:p w:rsidR="007F4CA9" w:rsidRDefault="004E522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sz w:val="28"/>
          <w:szCs w:val="28"/>
        </w:rPr>
        <w:t xml:space="preserve">  смотр – конкурс принимаются методические разработки всех учебных дисциплин, междисциплинарных циклов и учебных модулей. Возможно 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ьтимедийной презентации, выполненной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видеофильма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4CA9" w:rsidRDefault="004E5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2.8 </w:t>
      </w:r>
      <w:r>
        <w:rPr>
          <w:rFonts w:ascii="Times New Roman" w:hAnsi="Times New Roman"/>
          <w:sz w:val="28"/>
          <w:szCs w:val="28"/>
        </w:rPr>
        <w:t xml:space="preserve"> Контактные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данные оргкомитета:8(8412) 55-32-21- секретарь  ПОМК, </w:t>
      </w:r>
    </w:p>
    <w:p w:rsidR="007F4CA9" w:rsidRDefault="004E5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8(8412) 68-86-16 – Евстигнеева Марина Вячеславовна.</w:t>
      </w:r>
    </w:p>
    <w:p w:rsidR="007F4CA9" w:rsidRDefault="007F4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A9" w:rsidRDefault="004E5224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3.Общие требования </w:t>
      </w:r>
      <w:proofErr w:type="gramStart"/>
      <w:r>
        <w:rPr>
          <w:rFonts w:ascii="Times New Roman" w:hAnsi="Times New Roman"/>
          <w:b/>
          <w:bCs/>
          <w:sz w:val="30"/>
          <w:szCs w:val="30"/>
        </w:rPr>
        <w:t>к  методическим</w:t>
      </w:r>
      <w:proofErr w:type="gramEnd"/>
      <w:r>
        <w:rPr>
          <w:rFonts w:ascii="Times New Roman" w:hAnsi="Times New Roman"/>
          <w:b/>
          <w:bCs/>
          <w:sz w:val="30"/>
          <w:szCs w:val="30"/>
        </w:rPr>
        <w:t xml:space="preserve"> разработкам </w:t>
      </w:r>
      <w:r>
        <w:rPr>
          <w:rFonts w:ascii="Times New Roman" w:hAnsi="Times New Roman"/>
          <w:b/>
          <w:bCs/>
          <w:sz w:val="30"/>
          <w:szCs w:val="30"/>
        </w:rPr>
        <w:t>бинарных (интегрированных) занятий.</w:t>
      </w:r>
    </w:p>
    <w:p w:rsidR="007F4CA9" w:rsidRDefault="004E5224">
      <w:pPr>
        <w:spacing w:after="0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 чертой проведения бинарных уроков в системе среднего профессионального образования является их практико-ориентированная направленность и содержательность, совокупное формирование различных компетенций общей и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фессиональной значимости, подготовка профессионала с творческим подходом к решению поставленных задач.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Задача интегрирования — не просто показать области соприкосновения нескольких учебных дисциплин, а через их органическую, реальную связь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дать  студентам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представление о единстве окружающего мира.            Интегрированные уроки предполагают обязательное развитие творческой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активности  обучающихся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развивают потенциал, побуждают к активному познанию окружающей действительности, к осмыслению и нахождению п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ричинно-следственных связей, к развитию личности. Всё это должна представлять методическая разработка бинарного занятия. </w:t>
      </w:r>
    </w:p>
    <w:p w:rsidR="007F4CA9" w:rsidRDefault="004E5224">
      <w:pPr>
        <w:spacing w:after="0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методразработке должна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быть  отражена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отличительная особенность  интегрированных  занятий - четкость, компактность, сжатость, логи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ческая взаимообусловленность учебного материала на каждом этапе урока, большая информативная емкость материала. </w:t>
      </w:r>
      <w:r>
        <w:rPr>
          <w:rStyle w:val="a4"/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Бинарные уроки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– одна из форм реализации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связей и интеграции предметов.</w:t>
      </w:r>
    </w:p>
    <w:p w:rsidR="007F4CA9" w:rsidRDefault="004E5224">
      <w:pPr>
        <w:spacing w:after="0"/>
        <w:jc w:val="both"/>
        <w:rPr>
          <w:rFonts w:ascii="Times New Roman" w:hAnsi="Times New Roman" w:cs="Times New Roman"/>
          <w:color w:val="212121"/>
          <w:spacing w:val="-1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Методическая разработка должна быть составлена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так,  чтобы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чётко  прослеживалась цель бинарного урока – создание  условия мотивированного практического применения знаний, навыков и умений, </w:t>
      </w:r>
      <w:r>
        <w:rPr>
          <w:rFonts w:ascii="Times New Roman" w:hAnsi="Times New Roman" w:cs="Times New Roman"/>
          <w:color w:val="212121"/>
          <w:spacing w:val="-10"/>
          <w:sz w:val="28"/>
          <w:szCs w:val="28"/>
          <w:shd w:val="clear" w:color="auto" w:fill="FFFFFF"/>
        </w:rPr>
        <w:t>формирование универсальных  учебных действий, 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т.е. дать студентам возможность увидеть результаты своего труда и получить от него радость и удовлетворение. </w:t>
      </w:r>
      <w:r>
        <w:rPr>
          <w:rFonts w:ascii="Times New Roman" w:hAnsi="Times New Roman" w:cs="Times New Roman"/>
          <w:color w:val="212121"/>
          <w:spacing w:val="-10"/>
          <w:sz w:val="28"/>
          <w:szCs w:val="28"/>
          <w:shd w:val="clear" w:color="auto" w:fill="FFFFFF"/>
        </w:rPr>
        <w:t> </w:t>
      </w:r>
    </w:p>
    <w:p w:rsidR="007F4CA9" w:rsidRDefault="004E5224">
      <w:pPr>
        <w:pStyle w:val="aa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Бинарный урок – позволяет достичь </w:t>
      </w:r>
      <w:proofErr w:type="spellStart"/>
      <w:r>
        <w:rPr>
          <w:color w:val="212121"/>
          <w:sz w:val="28"/>
          <w:szCs w:val="28"/>
        </w:rPr>
        <w:t>метапредметных</w:t>
      </w:r>
      <w:proofErr w:type="spellEnd"/>
      <w:r>
        <w:rPr>
          <w:color w:val="212121"/>
          <w:sz w:val="28"/>
          <w:szCs w:val="28"/>
        </w:rPr>
        <w:t xml:space="preserve"> результатов и </w:t>
      </w:r>
      <w:proofErr w:type="gramStart"/>
      <w:r>
        <w:rPr>
          <w:color w:val="212121"/>
          <w:sz w:val="28"/>
          <w:szCs w:val="28"/>
        </w:rPr>
        <w:t xml:space="preserve">совершенствовать  </w:t>
      </w:r>
      <w:proofErr w:type="spellStart"/>
      <w:r>
        <w:rPr>
          <w:color w:val="212121"/>
          <w:sz w:val="28"/>
          <w:szCs w:val="28"/>
        </w:rPr>
        <w:t>метапредметные</w:t>
      </w:r>
      <w:proofErr w:type="spellEnd"/>
      <w:proofErr w:type="gramEnd"/>
      <w:r>
        <w:rPr>
          <w:color w:val="212121"/>
          <w:sz w:val="28"/>
          <w:szCs w:val="28"/>
        </w:rPr>
        <w:t xml:space="preserve">  компетентности студентов, что и должно быть пред</w:t>
      </w:r>
      <w:r>
        <w:rPr>
          <w:color w:val="212121"/>
          <w:sz w:val="28"/>
          <w:szCs w:val="28"/>
        </w:rPr>
        <w:t>ставлено в методической разработке.</w:t>
      </w:r>
    </w:p>
    <w:p w:rsidR="007F4CA9" w:rsidRDefault="007F4CA9">
      <w:pPr>
        <w:pStyle w:val="aa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</w:p>
    <w:p w:rsidR="007F4CA9" w:rsidRDefault="007F4CA9">
      <w:pPr>
        <w:pStyle w:val="aa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</w:p>
    <w:p w:rsidR="007F4CA9" w:rsidRDefault="007F4CA9">
      <w:pPr>
        <w:pStyle w:val="aa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</w:p>
    <w:p w:rsidR="007F4CA9" w:rsidRDefault="007F4CA9">
      <w:pPr>
        <w:pStyle w:val="aa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</w:p>
    <w:p w:rsidR="007F4CA9" w:rsidRDefault="007F4CA9">
      <w:pPr>
        <w:pStyle w:val="aa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</w:p>
    <w:p w:rsidR="007F4CA9" w:rsidRDefault="007F4CA9">
      <w:pPr>
        <w:pStyle w:val="aa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</w:p>
    <w:p w:rsidR="007F4CA9" w:rsidRDefault="007F4CA9">
      <w:pPr>
        <w:pStyle w:val="aa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</w:p>
    <w:p w:rsidR="007F4CA9" w:rsidRDefault="007F4CA9">
      <w:pPr>
        <w:pStyle w:val="aa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</w:p>
    <w:p w:rsidR="007F4CA9" w:rsidRDefault="007F4CA9">
      <w:pPr>
        <w:pStyle w:val="aa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</w:p>
    <w:p w:rsidR="007F4CA9" w:rsidRDefault="004E52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Требования к оформлению работы</w:t>
      </w:r>
    </w:p>
    <w:p w:rsidR="007F4CA9" w:rsidRDefault="004E52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 Заявка должна быть представлена в электронном виде в формате «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 (приложение №3).</w:t>
      </w:r>
    </w:p>
    <w:p w:rsidR="007F4CA9" w:rsidRDefault="004E52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 xml:space="preserve"> Методическая разработка бинарного (интегрированного) занятия, представленная на конкурс, разрабатывается в соответствии с образцом (приложение №1). В составлении плана и технологической карты учебного занятия (приложение №2</w:t>
      </w:r>
      <w:proofErr w:type="gramStart"/>
      <w:r>
        <w:rPr>
          <w:rFonts w:ascii="Times New Roman" w:hAnsi="Times New Roman"/>
          <w:sz w:val="28"/>
          <w:szCs w:val="28"/>
        </w:rPr>
        <w:t>)  допускаются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творческие отступ</w:t>
      </w:r>
      <w:r>
        <w:rPr>
          <w:rFonts w:ascii="Times New Roman" w:hAnsi="Times New Roman"/>
          <w:sz w:val="28"/>
          <w:szCs w:val="28"/>
        </w:rPr>
        <w:t xml:space="preserve">ления, т.к.  </w:t>
      </w:r>
      <w:proofErr w:type="gramStart"/>
      <w:r>
        <w:rPr>
          <w:rFonts w:ascii="Times New Roman" w:hAnsi="Times New Roman"/>
          <w:sz w:val="28"/>
          <w:szCs w:val="28"/>
        </w:rPr>
        <w:t>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№2 носит рекомендательный характер.</w:t>
      </w:r>
    </w:p>
    <w:p w:rsidR="007F4CA9" w:rsidRDefault="004E5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 xml:space="preserve"> Технические требования к оформлению методической </w:t>
      </w:r>
      <w:proofErr w:type="gramStart"/>
      <w:r>
        <w:rPr>
          <w:rFonts w:ascii="Times New Roman" w:hAnsi="Times New Roman"/>
          <w:sz w:val="28"/>
          <w:szCs w:val="28"/>
        </w:rPr>
        <w:t>разработки :</w:t>
      </w:r>
      <w:proofErr w:type="gramEnd"/>
    </w:p>
    <w:p w:rsidR="007F4CA9" w:rsidRDefault="004E5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шрифт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Times New Roman;</w:t>
      </w:r>
    </w:p>
    <w:p w:rsidR="007F4CA9" w:rsidRDefault="004E5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кегль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– 14;</w:t>
      </w:r>
    </w:p>
    <w:p w:rsidR="007F4CA9" w:rsidRDefault="004E5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межстрочный интервал – 1,5;</w:t>
      </w:r>
    </w:p>
    <w:p w:rsidR="007F4CA9" w:rsidRDefault="004E5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красная строка – 1,25;</w:t>
      </w:r>
    </w:p>
    <w:p w:rsidR="007F4CA9" w:rsidRDefault="004E5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выравнивание по ширине;</w:t>
      </w:r>
    </w:p>
    <w:p w:rsidR="007F4CA9" w:rsidRDefault="004E5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</w:t>
      </w:r>
      <w:r>
        <w:rPr>
          <w:rFonts w:ascii="Times New Roman" w:hAnsi="Times New Roman"/>
          <w:sz w:val="28"/>
          <w:szCs w:val="28"/>
        </w:rPr>
        <w:t>ия – книжная; возможно использование альбомной ориентации для приложений или таблиц;</w:t>
      </w:r>
    </w:p>
    <w:p w:rsidR="007F4CA9" w:rsidRDefault="004E5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поля по 2 см.</w:t>
      </w:r>
    </w:p>
    <w:p w:rsidR="007F4CA9" w:rsidRDefault="004E52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 xml:space="preserve"> Презентации и видеофильмы оформляются отдельными файлами, размещаются в одной </w:t>
      </w:r>
      <w:proofErr w:type="gramStart"/>
      <w:r>
        <w:rPr>
          <w:rFonts w:ascii="Times New Roman" w:hAnsi="Times New Roman"/>
          <w:sz w:val="28"/>
          <w:szCs w:val="28"/>
        </w:rPr>
        <w:t>папке,  вместе</w:t>
      </w:r>
      <w:proofErr w:type="gramEnd"/>
      <w:r>
        <w:rPr>
          <w:rFonts w:ascii="Times New Roman" w:hAnsi="Times New Roman"/>
          <w:sz w:val="28"/>
          <w:szCs w:val="28"/>
        </w:rPr>
        <w:t xml:space="preserve"> с файлом  методразработки.</w:t>
      </w:r>
    </w:p>
    <w:p w:rsidR="007F4CA9" w:rsidRDefault="007F4C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4CA9" w:rsidRDefault="004E5224">
      <w:pPr>
        <w:pStyle w:val="Default"/>
        <w:numPr>
          <w:ilvl w:val="0"/>
          <w:numId w:val="4"/>
        </w:numPr>
        <w:jc w:val="center"/>
      </w:pPr>
      <w:r>
        <w:rPr>
          <w:b/>
          <w:bCs/>
          <w:sz w:val="28"/>
          <w:szCs w:val="28"/>
        </w:rPr>
        <w:t>5. Подведение итогов конку</w:t>
      </w:r>
      <w:r>
        <w:rPr>
          <w:b/>
          <w:bCs/>
          <w:sz w:val="28"/>
          <w:szCs w:val="28"/>
        </w:rPr>
        <w:t>рса</w:t>
      </w:r>
    </w:p>
    <w:p w:rsidR="007F4CA9" w:rsidRDefault="004E5224">
      <w:pPr>
        <w:pStyle w:val="Default"/>
        <w:numPr>
          <w:ilvl w:val="0"/>
          <w:numId w:val="4"/>
        </w:numPr>
        <w:jc w:val="both"/>
      </w:pPr>
      <w:r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По итогам конкурса составляется итоговый протокол с указанием набранных баллов каждым участником. Экспертной комиссией определяются победитель (1 место) и призёры (2, 3 место) по набранному наибольшему количеству баллов. </w:t>
      </w:r>
    </w:p>
    <w:p w:rsidR="007F4CA9" w:rsidRDefault="004E5224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Экспертная  комиссия</w:t>
      </w:r>
      <w:proofErr w:type="gramEnd"/>
      <w:r>
        <w:rPr>
          <w:sz w:val="28"/>
          <w:szCs w:val="28"/>
        </w:rPr>
        <w:t xml:space="preserve"> смотра -  конкурса оставляют за собой право увеличить число победителей в случае равного количества полученных баллов в результате экспертной оценки. </w:t>
      </w:r>
    </w:p>
    <w:p w:rsidR="007F4CA9" w:rsidRDefault="004E5224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>
        <w:rPr>
          <w:sz w:val="28"/>
          <w:szCs w:val="28"/>
        </w:rPr>
        <w:t>Информационная справка по итогам смотра – конкурса будет размещена на сайте ГБ</w:t>
      </w:r>
      <w:r>
        <w:rPr>
          <w:sz w:val="28"/>
          <w:szCs w:val="28"/>
        </w:rPr>
        <w:t xml:space="preserve">ОУ ПО «Пензенский областной медицинский </w:t>
      </w:r>
      <w:proofErr w:type="gramStart"/>
      <w:r>
        <w:rPr>
          <w:sz w:val="28"/>
          <w:szCs w:val="28"/>
        </w:rPr>
        <w:t xml:space="preserve">колледж»  </w:t>
      </w:r>
      <w:proofErr w:type="spellStart"/>
      <w:r>
        <w:rPr>
          <w:sz w:val="28"/>
          <w:szCs w:val="28"/>
          <w:lang w:val="en-US"/>
        </w:rPr>
        <w:t>pomc</w:t>
      </w:r>
      <w:proofErr w:type="spellEnd"/>
      <w:r>
        <w:rPr>
          <w:sz w:val="28"/>
          <w:szCs w:val="28"/>
        </w:rPr>
        <w:t>.58.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  <w:r>
        <w:rPr>
          <w:sz w:val="28"/>
          <w:szCs w:val="28"/>
        </w:rPr>
        <w:t xml:space="preserve">  до  11 декабря 2020 г.</w:t>
      </w:r>
    </w:p>
    <w:p w:rsidR="007F4CA9" w:rsidRDefault="004E522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Состав экспертной комиссии:</w:t>
      </w:r>
    </w:p>
    <w:p w:rsidR="007F4CA9" w:rsidRDefault="004E52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7F4CA9" w:rsidRDefault="004E5224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/>
          <w:sz w:val="28"/>
          <w:szCs w:val="28"/>
        </w:rPr>
        <w:t>Дербенёв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Петрович-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</w:t>
      </w:r>
      <w:r>
        <w:rPr>
          <w:rFonts w:ascii="Times New Roman" w:hAnsi="Times New Roman" w:cs="Times New Roman"/>
          <w:sz w:val="28"/>
          <w:szCs w:val="28"/>
        </w:rPr>
        <w:t>ГБОУ ПО «Пензе</w:t>
      </w:r>
      <w:r>
        <w:rPr>
          <w:rFonts w:ascii="Times New Roman" w:hAnsi="Times New Roman" w:cs="Times New Roman"/>
          <w:sz w:val="28"/>
          <w:szCs w:val="28"/>
        </w:rPr>
        <w:t xml:space="preserve">нский областной медицинский колледж». </w:t>
      </w:r>
    </w:p>
    <w:p w:rsidR="007F4CA9" w:rsidRDefault="004E5224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Евстигнеева Марина Вячеславовна- заместитель                          начальника колледжа,</w:t>
      </w:r>
    </w:p>
    <w:p w:rsidR="007F4CA9" w:rsidRDefault="004E5224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Недведская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Анатольевна - заведующая практической работой,</w:t>
      </w:r>
    </w:p>
    <w:p w:rsidR="007F4CA9" w:rsidRDefault="004E5224">
      <w:pPr>
        <w:spacing w:after="0" w:line="240" w:lineRule="auto"/>
        <w:ind w:left="3119" w:hanging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Пальченков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Владимирович – старший                                  методист,</w:t>
      </w:r>
    </w:p>
    <w:p w:rsidR="007F4CA9" w:rsidRDefault="004E5224">
      <w:pPr>
        <w:spacing w:after="0" w:line="240" w:lineRule="auto"/>
        <w:ind w:left="3119" w:hanging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Мордвинова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Викторовна – председатель ЦМК сестринского дела,</w:t>
      </w:r>
    </w:p>
    <w:p w:rsidR="007F4CA9" w:rsidRDefault="004E5224">
      <w:pPr>
        <w:spacing w:after="0" w:line="240" w:lineRule="auto"/>
        <w:ind w:left="3119" w:hanging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Купчева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Анатольевна – преподаватель              информатики.</w:t>
      </w:r>
    </w:p>
    <w:p w:rsidR="007F4CA9" w:rsidRDefault="004E52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5.6. Критерии оценки заочного смотра – конкурса методических разработок бинарных учебных занятий: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621"/>
        <w:gridCol w:w="1950"/>
      </w:tblGrid>
      <w:tr w:rsidR="007F4CA9">
        <w:tc>
          <w:tcPr>
            <w:tcW w:w="7448" w:type="dxa"/>
            <w:shd w:val="clear" w:color="auto" w:fill="auto"/>
            <w:vAlign w:val="center"/>
          </w:tcPr>
          <w:p w:rsidR="007F4CA9" w:rsidRDefault="004E522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SimSun" w:hAnsi="Times New Roman" w:cs="Lucida Sans"/>
                <w:b/>
                <w:sz w:val="24"/>
                <w:szCs w:val="24"/>
                <w:lang w:eastAsia="zh-CN" w:bidi="hi-IN"/>
              </w:rPr>
              <w:t>Критерии оценки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SimSun" w:hAnsi="Times New Roman" w:cs="Lucida Sans"/>
                <w:b/>
                <w:sz w:val="24"/>
                <w:szCs w:val="24"/>
                <w:lang w:eastAsia="zh-CN" w:bidi="hi-IN"/>
              </w:rPr>
              <w:t>Максимальное  кол</w:t>
            </w:r>
            <w:proofErr w:type="gramEnd"/>
            <w:r>
              <w:rPr>
                <w:rFonts w:ascii="Times New Roman" w:eastAsia="SimSun" w:hAnsi="Times New Roman" w:cs="Lucida Sans"/>
                <w:b/>
                <w:sz w:val="24"/>
                <w:szCs w:val="24"/>
                <w:lang w:eastAsia="zh-CN" w:bidi="hi-IN"/>
              </w:rPr>
              <w:t>-во балов</w:t>
            </w:r>
          </w:p>
        </w:tc>
      </w:tr>
      <w:tr w:rsidR="007F4CA9">
        <w:trPr>
          <w:trHeight w:val="809"/>
        </w:trPr>
        <w:tc>
          <w:tcPr>
            <w:tcW w:w="7448" w:type="dxa"/>
            <w:shd w:val="clear" w:color="auto" w:fill="auto"/>
            <w:vAlign w:val="center"/>
          </w:tcPr>
          <w:p w:rsidR="007F4CA9" w:rsidRDefault="004E5224">
            <w:pPr>
              <w:pStyle w:val="ab"/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 и содержания методразработки учебного         занятия рабочей программе учебных   дисциплин, МДК, профессиональных модулей. Целесообразность проведения данного бинарного занятия.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7</w:t>
            </w:r>
          </w:p>
        </w:tc>
      </w:tr>
      <w:tr w:rsidR="007F4CA9">
        <w:tc>
          <w:tcPr>
            <w:tcW w:w="7448" w:type="dxa"/>
            <w:shd w:val="clear" w:color="auto" w:fill="auto"/>
            <w:vAlign w:val="center"/>
          </w:tcPr>
          <w:p w:rsidR="007F4CA9" w:rsidRDefault="004E5224">
            <w:pPr>
              <w:pStyle w:val="ab"/>
              <w:widowControl/>
              <w:spacing w:beforeAutospacing="1" w:line="276" w:lineRule="auto"/>
              <w:ind w:left="0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2.Соответствие  требованиям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предъявляемым к оформлению конкурсных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работ.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5</w:t>
            </w:r>
          </w:p>
        </w:tc>
      </w:tr>
      <w:tr w:rsidR="007F4CA9">
        <w:tc>
          <w:tcPr>
            <w:tcW w:w="7448" w:type="dxa"/>
            <w:shd w:val="clear" w:color="auto" w:fill="auto"/>
            <w:vAlign w:val="center"/>
          </w:tcPr>
          <w:p w:rsidR="007F4CA9" w:rsidRDefault="004E5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3.Наличие видов и форм работы, ориентированных на формирование у обучающихся общих и 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профессиональных  компетенций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 согласно ФГОС СПО.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5</w:t>
            </w:r>
          </w:p>
        </w:tc>
      </w:tr>
      <w:tr w:rsidR="007F4CA9">
        <w:tc>
          <w:tcPr>
            <w:tcW w:w="7448" w:type="dxa"/>
            <w:shd w:val="clear" w:color="auto" w:fill="auto"/>
            <w:vAlign w:val="center"/>
          </w:tcPr>
          <w:p w:rsidR="007F4CA9" w:rsidRDefault="004E5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4. Создание мотивации и ситуации успеха на занятии. Развитие у студентов навыков контроля и самоконтроля.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5</w:t>
            </w:r>
          </w:p>
        </w:tc>
      </w:tr>
      <w:tr w:rsidR="007F4CA9">
        <w:tc>
          <w:tcPr>
            <w:tcW w:w="7448" w:type="dxa"/>
            <w:shd w:val="clear" w:color="auto" w:fill="auto"/>
            <w:vAlign w:val="center"/>
          </w:tcPr>
          <w:p w:rsidR="007F4CA9" w:rsidRDefault="004E5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5.Использование педагогически 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обоснованных  современных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 xml:space="preserve"> приемов, методов, технологий обучения, направленных на </w:t>
            </w:r>
            <w:r>
              <w:rPr>
                <w:rFonts w:ascii="Times New Roman" w:eastAsia="SimSun" w:hAnsi="Times New Roman" w:cs="Times New Roman"/>
                <w:color w:val="212121"/>
                <w:sz w:val="28"/>
                <w:szCs w:val="28"/>
                <w:shd w:val="clear" w:color="auto" w:fill="FFFFFF"/>
                <w:lang w:eastAsia="zh-CN" w:bidi="hi-IN"/>
              </w:rPr>
              <w:t>развитие творческой активности  обучающихся.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5</w:t>
            </w:r>
          </w:p>
        </w:tc>
      </w:tr>
      <w:tr w:rsidR="007F4CA9">
        <w:tc>
          <w:tcPr>
            <w:tcW w:w="7448" w:type="dxa"/>
            <w:shd w:val="clear" w:color="auto" w:fill="auto"/>
            <w:vAlign w:val="center"/>
          </w:tcPr>
          <w:p w:rsidR="007F4CA9" w:rsidRDefault="004E5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Соотношение репродуктивной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поисковой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исследовательской) деятельности обучающихся на занятии.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5</w:t>
            </w:r>
          </w:p>
        </w:tc>
      </w:tr>
      <w:tr w:rsidR="007F4CA9">
        <w:tc>
          <w:tcPr>
            <w:tcW w:w="7448" w:type="dxa"/>
            <w:shd w:val="clear" w:color="auto" w:fill="auto"/>
            <w:vAlign w:val="center"/>
          </w:tcPr>
          <w:p w:rsidR="007F4CA9" w:rsidRDefault="004E5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Реализация дифференцированного обучения.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Наличие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разноуровневых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заданий. Организация самостоятельной работы студентов.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5</w:t>
            </w:r>
          </w:p>
        </w:tc>
      </w:tr>
      <w:tr w:rsidR="007F4CA9">
        <w:tc>
          <w:tcPr>
            <w:tcW w:w="7448" w:type="dxa"/>
            <w:shd w:val="clear" w:color="auto" w:fill="auto"/>
            <w:vAlign w:val="center"/>
          </w:tcPr>
          <w:p w:rsidR="007F4CA9" w:rsidRDefault="004E5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Доступность, наглядность,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логичность изложения учебного материала. Практико-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ориентированная  направленность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занятия.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5</w:t>
            </w:r>
          </w:p>
        </w:tc>
      </w:tr>
      <w:tr w:rsidR="007F4CA9">
        <w:tc>
          <w:tcPr>
            <w:tcW w:w="7448" w:type="dxa"/>
            <w:shd w:val="clear" w:color="auto" w:fill="auto"/>
            <w:vAlign w:val="center"/>
          </w:tcPr>
          <w:p w:rsidR="007F4CA9" w:rsidRDefault="004E5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Творческий  характер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работы,  нестандартность  решения</w:t>
            </w:r>
          </w:p>
          <w:p w:rsidR="007F4CA9" w:rsidRDefault="004E5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проблемы.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5</w:t>
            </w:r>
          </w:p>
        </w:tc>
      </w:tr>
      <w:tr w:rsidR="007F4CA9">
        <w:tc>
          <w:tcPr>
            <w:tcW w:w="7448" w:type="dxa"/>
            <w:shd w:val="clear" w:color="auto" w:fill="auto"/>
            <w:vAlign w:val="center"/>
          </w:tcPr>
          <w:p w:rsidR="007F4CA9" w:rsidRDefault="004E5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10.Соблюдение единства стиля изложения (орфографическая, синтаксическая, с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тилистическая грамотность). Эстетика оформления.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3</w:t>
            </w:r>
          </w:p>
        </w:tc>
      </w:tr>
    </w:tbl>
    <w:p w:rsidR="007F4CA9" w:rsidRDefault="004E52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Максимальное количество балов</w:t>
      </w:r>
      <w:r>
        <w:rPr>
          <w:rFonts w:ascii="Times New Roman" w:hAnsi="Times New Roman"/>
          <w:sz w:val="28"/>
          <w:szCs w:val="28"/>
        </w:rPr>
        <w:t xml:space="preserve"> – 50 баллов.</w:t>
      </w:r>
    </w:p>
    <w:p w:rsidR="007F4CA9" w:rsidRDefault="007F4CA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4CA9" w:rsidRDefault="004E522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7F4CA9" w:rsidRDefault="004E5224">
      <w:pPr>
        <w:spacing w:after="0"/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</w:pPr>
      <w:proofErr w:type="gramStart"/>
      <w:r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>Требования</w:t>
      </w:r>
      <w:r>
        <w:rPr>
          <w:rFonts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 xml:space="preserve"> к</w:t>
      </w:r>
      <w:proofErr w:type="gramEnd"/>
      <w:r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 xml:space="preserve"> оформлению</w:t>
      </w:r>
      <w:r>
        <w:rPr>
          <w:rFonts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 xml:space="preserve"> методической</w:t>
      </w:r>
      <w:r>
        <w:rPr>
          <w:rFonts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 xml:space="preserve"> разработки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Методическая  разработка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обязательно должна иметь:</w:t>
      </w:r>
    </w:p>
    <w:p w:rsidR="007F4CA9" w:rsidRDefault="004E5224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титульный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лист,</w:t>
      </w:r>
    </w:p>
    <w:p w:rsidR="007F4CA9" w:rsidRDefault="004E5224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пояснительную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записку,</w:t>
      </w:r>
    </w:p>
    <w:p w:rsidR="007F4CA9" w:rsidRDefault="004E5224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F4CA9" w:rsidRDefault="004E5224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часть,</w:t>
      </w:r>
    </w:p>
    <w:p w:rsidR="007F4CA9" w:rsidRDefault="004E5224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литературы,</w:t>
      </w:r>
      <w:r>
        <w:rPr>
          <w:b/>
          <w:i/>
          <w:kern w:val="2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информационно-коммуникативные и интернет ресурсы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4CA9" w:rsidRDefault="004E5224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F4CA9" w:rsidRDefault="004E5224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внешнюю рецензию.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На титульном листе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разработки приводится:</w:t>
      </w:r>
    </w:p>
    <w:p w:rsidR="007F4CA9" w:rsidRDefault="004E5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вышестоящей организации;  наименование учреж</w:t>
      </w:r>
      <w:r>
        <w:rPr>
          <w:rFonts w:ascii="Times New Roman" w:hAnsi="Times New Roman" w:cs="Times New Roman"/>
          <w:sz w:val="28"/>
          <w:szCs w:val="28"/>
        </w:rPr>
        <w:t xml:space="preserve">дения; тема (название) методической разработки;  учебные дисциплины (междисциплинарные циклы, профессиональные  модули);  указание, для кого предназначено данная разработка – (специальность, профессия, курс);  сведения об авторах,  сведения о рецензенте,  </w:t>
      </w:r>
      <w:r>
        <w:rPr>
          <w:rFonts w:ascii="Times New Roman" w:hAnsi="Times New Roman" w:cs="Times New Roman"/>
          <w:sz w:val="28"/>
          <w:szCs w:val="28"/>
        </w:rPr>
        <w:t xml:space="preserve"> место и год создания.</w:t>
      </w:r>
    </w:p>
    <w:p w:rsidR="007F4CA9" w:rsidRDefault="004E5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(до 1 стр.</w:t>
      </w:r>
      <w:proofErr w:type="gramStart"/>
      <w:r>
        <w:rPr>
          <w:rFonts w:ascii="Times New Roman" w:hAnsi="Times New Roman" w:cs="Times New Roman"/>
          <w:sz w:val="28"/>
          <w:szCs w:val="28"/>
        </w:rPr>
        <w:t>):  кратко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указывается, какой проблеме посвящается методическая разработка, обосновывается целесообразность проведения данного бинарного (интегрированного) занятия, какие вопросы  раскрывает, кому мо</w:t>
      </w:r>
      <w:r>
        <w:rPr>
          <w:rFonts w:ascii="Times New Roman" w:hAnsi="Times New Roman" w:cs="Times New Roman"/>
          <w:sz w:val="28"/>
          <w:szCs w:val="28"/>
        </w:rPr>
        <w:t xml:space="preserve">жет быть полезна. Раскрывается актуальность данной разработки, т.е. вопрос, 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авторы  выбрали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эту тему и каково ее место в содержании образования.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: полный,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подробный 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учебного занятия, технологическая  карта занятия,  с указан</w:t>
      </w:r>
      <w:r>
        <w:rPr>
          <w:rFonts w:ascii="Times New Roman" w:hAnsi="Times New Roman" w:cs="Times New Roman"/>
          <w:sz w:val="28"/>
          <w:szCs w:val="28"/>
        </w:rPr>
        <w:t>ием действий всех преподавателей, ведущих данное занятие.</w:t>
      </w:r>
    </w:p>
    <w:p w:rsidR="007F4CA9" w:rsidRDefault="004E5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включаются источники,  которые использовались при написании работы,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интернетисточники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4CA9" w:rsidRDefault="004E5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  помещают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относящиеся к работе дополнительные материалы, которые уси</w:t>
      </w:r>
      <w:r>
        <w:rPr>
          <w:rFonts w:ascii="Times New Roman" w:hAnsi="Times New Roman" w:cs="Times New Roman"/>
          <w:sz w:val="28"/>
          <w:szCs w:val="28"/>
        </w:rPr>
        <w:t xml:space="preserve">ливают или  иллюстрируют важные стороны излагаемых вопросов. В качестве таких материалов могут быть даны примеры раздаточных карточек, тестовых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заданий,  опорных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конспектов, схемы изложения учебных вопросов, видеофильмы, выдержки из авторских описаний лабо</w:t>
      </w:r>
      <w:r>
        <w:rPr>
          <w:rFonts w:ascii="Times New Roman" w:hAnsi="Times New Roman" w:cs="Times New Roman"/>
          <w:sz w:val="28"/>
          <w:szCs w:val="28"/>
        </w:rPr>
        <w:t>раторных или  демонстрационных работ и пр.</w:t>
      </w:r>
    </w:p>
    <w:p w:rsidR="007F4CA9" w:rsidRDefault="007F4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CA9" w:rsidRDefault="007F4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CA9" w:rsidRDefault="007F4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CA9" w:rsidRDefault="007F4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CA9" w:rsidRDefault="007F4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CA9" w:rsidRDefault="004E52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7F4CA9" w:rsidRDefault="007F4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CA9" w:rsidRDefault="004E52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ПЛАН УЧЕБНОГО ЗАНЯТИЯ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Учебные дисциплины (междисциплинарные циклы,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профессиональные  модули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занятия: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занятия: (обучающая, развивающая, воспитательная, </w:t>
      </w:r>
      <w:r>
        <w:rPr>
          <w:rFonts w:ascii="Times New Roman" w:hAnsi="Times New Roman" w:cs="Times New Roman"/>
          <w:sz w:val="28"/>
          <w:szCs w:val="28"/>
        </w:rPr>
        <w:t>методическая)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общие и профессиональные компетенции, определенные стандартом (ФГОС):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знания и умения по учебным дисциплинам, определенные стандартом (ФГОС):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деятельности студентов: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оды: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и осуществления учебных действий: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организации деятельности и формирования опыта: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стимулирования и мотивации деятельности: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контроля: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современные  педагогические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связи(</w:t>
      </w:r>
      <w:proofErr w:type="gramEnd"/>
      <w:r>
        <w:rPr>
          <w:rFonts w:ascii="Times New Roman" w:hAnsi="Times New Roman" w:cs="Times New Roman"/>
          <w:sz w:val="28"/>
          <w:szCs w:val="28"/>
        </w:rPr>
        <w:t>ука</w:t>
      </w:r>
      <w:r>
        <w:rPr>
          <w:rFonts w:ascii="Times New Roman" w:hAnsi="Times New Roman" w:cs="Times New Roman"/>
          <w:sz w:val="28"/>
          <w:szCs w:val="28"/>
        </w:rPr>
        <w:t>зать учебные дисциплины/МДК, ПМ и темы занятий):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занятия: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 занятия:</w:t>
      </w:r>
    </w:p>
    <w:p w:rsidR="007F4CA9" w:rsidRDefault="004E5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понятия:</w:t>
      </w:r>
    </w:p>
    <w:p w:rsidR="007F4CA9" w:rsidRDefault="007F4CA9">
      <w:pPr>
        <w:spacing w:after="0"/>
        <w:rPr>
          <w:rFonts w:ascii="Times New Roman Полужирный" w:hAnsi="Times New Roman Полужирный" w:cs="Times New Roman"/>
          <w:caps/>
          <w:sz w:val="28"/>
          <w:szCs w:val="28"/>
        </w:rPr>
      </w:pPr>
    </w:p>
    <w:p w:rsidR="007F4CA9" w:rsidRDefault="004E5224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Примерная технологическая карта урока, занятия:</w:t>
      </w:r>
    </w:p>
    <w:p w:rsidR="007F4CA9" w:rsidRDefault="007F4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541"/>
        <w:gridCol w:w="1270"/>
        <w:gridCol w:w="849"/>
        <w:gridCol w:w="1305"/>
        <w:gridCol w:w="1040"/>
        <w:gridCol w:w="1342"/>
        <w:gridCol w:w="1701"/>
        <w:gridCol w:w="1699"/>
      </w:tblGrid>
      <w:tr w:rsidR="007F4CA9">
        <w:trPr>
          <w:trHeight w:val="1220"/>
        </w:trPr>
        <w:tc>
          <w:tcPr>
            <w:tcW w:w="539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Этапы занятия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 w:bidi="hi-IN"/>
              </w:rPr>
              <w:t>Время</w:t>
            </w:r>
          </w:p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lang w:eastAsia="zh-CN" w:bidi="hi-IN"/>
              </w:rPr>
              <w:t>(</w:t>
            </w:r>
            <w:proofErr w:type="gramStart"/>
            <w:r>
              <w:rPr>
                <w:rFonts w:ascii="Times New Roman" w:eastAsia="SimSun" w:hAnsi="Times New Roman" w:cs="Times New Roman"/>
                <w:lang w:eastAsia="zh-CN" w:bidi="hi-IN"/>
              </w:rPr>
              <w:t>мин</w:t>
            </w:r>
            <w:proofErr w:type="gramEnd"/>
            <w:r>
              <w:rPr>
                <w:rFonts w:ascii="Times New Roman" w:eastAsia="SimSun" w:hAnsi="Times New Roman" w:cs="Times New Roman"/>
                <w:lang w:eastAsia="zh-CN" w:bidi="hi-IN"/>
              </w:rPr>
              <w:t>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Содержа-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ние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этапа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 w:bidi="hi-IN"/>
              </w:rPr>
              <w:t>Задачи данного этапа</w:t>
            </w:r>
          </w:p>
          <w:p w:rsidR="007F4CA9" w:rsidRDefault="007F4CA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  <w:p w:rsidR="007F4CA9" w:rsidRDefault="007F4CA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Деятель-</w:t>
            </w:r>
          </w:p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ность</w:t>
            </w:r>
            <w:proofErr w:type="spellEnd"/>
            <w:proofErr w:type="gramEnd"/>
          </w:p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студентов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Деятельность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преподавате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лей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(1 и 2)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Формы, средства и методы обучения</w:t>
            </w:r>
          </w:p>
        </w:tc>
      </w:tr>
      <w:tr w:rsidR="007F4CA9">
        <w:tc>
          <w:tcPr>
            <w:tcW w:w="539" w:type="dxa"/>
            <w:shd w:val="clear" w:color="auto" w:fill="auto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 w:bidi="hi-IN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 w:bidi="hi-IN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 w:bidi="hi-I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 w:bidi="hi-IN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 w:bidi="hi-IN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 w:bidi="hi-I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 w:bidi="hi-IN"/>
              </w:rPr>
              <w:t>7</w:t>
            </w:r>
          </w:p>
        </w:tc>
        <w:tc>
          <w:tcPr>
            <w:tcW w:w="1699" w:type="dxa"/>
            <w:shd w:val="clear" w:color="auto" w:fill="auto"/>
          </w:tcPr>
          <w:p w:rsidR="007F4CA9" w:rsidRDefault="004E5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 w:bidi="hi-IN"/>
              </w:rPr>
              <w:t>8</w:t>
            </w:r>
          </w:p>
        </w:tc>
      </w:tr>
      <w:tr w:rsidR="007F4CA9">
        <w:tc>
          <w:tcPr>
            <w:tcW w:w="539" w:type="dxa"/>
            <w:shd w:val="clear" w:color="auto" w:fill="auto"/>
          </w:tcPr>
          <w:p w:rsidR="007F4CA9" w:rsidRDefault="004E52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7F4CA9" w:rsidRDefault="004E52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Организа-ционный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момент</w:t>
            </w:r>
          </w:p>
        </w:tc>
        <w:tc>
          <w:tcPr>
            <w:tcW w:w="849" w:type="dxa"/>
            <w:shd w:val="clear" w:color="auto" w:fill="auto"/>
          </w:tcPr>
          <w:p w:rsidR="007F4CA9" w:rsidRDefault="007F4CA9">
            <w:pPr>
              <w:spacing w:after="0" w:line="240" w:lineRule="auto"/>
              <w:rPr>
                <w:rFonts w:ascii="Liberation Serif" w:eastAsia="SimSun" w:hAnsi="Liberation Serif" w:cs="Lucida Sans"/>
                <w:sz w:val="20"/>
                <w:szCs w:val="24"/>
                <w:lang w:eastAsia="zh-CN" w:bidi="hi-IN"/>
              </w:rPr>
            </w:pPr>
          </w:p>
        </w:tc>
        <w:tc>
          <w:tcPr>
            <w:tcW w:w="1305" w:type="dxa"/>
            <w:shd w:val="clear" w:color="auto" w:fill="auto"/>
          </w:tcPr>
          <w:p w:rsidR="007F4CA9" w:rsidRDefault="007F4CA9">
            <w:pPr>
              <w:spacing w:after="0" w:line="240" w:lineRule="auto"/>
              <w:rPr>
                <w:rFonts w:ascii="Liberation Serif" w:eastAsia="SimSun" w:hAnsi="Liberation Serif" w:cs="Lucida Sans"/>
                <w:sz w:val="20"/>
                <w:szCs w:val="24"/>
                <w:lang w:eastAsia="zh-CN" w:bidi="hi-IN"/>
              </w:rPr>
            </w:pPr>
          </w:p>
        </w:tc>
        <w:tc>
          <w:tcPr>
            <w:tcW w:w="1040" w:type="dxa"/>
            <w:shd w:val="clear" w:color="auto" w:fill="auto"/>
          </w:tcPr>
          <w:p w:rsidR="007F4CA9" w:rsidRDefault="007F4CA9">
            <w:pPr>
              <w:spacing w:after="0" w:line="240" w:lineRule="auto"/>
              <w:rPr>
                <w:rFonts w:ascii="Liberation Serif" w:eastAsia="SimSun" w:hAnsi="Liberation Serif" w:cs="Lucida Sans"/>
                <w:sz w:val="20"/>
                <w:szCs w:val="24"/>
                <w:lang w:eastAsia="zh-CN" w:bidi="hi-IN"/>
              </w:rPr>
            </w:pPr>
          </w:p>
        </w:tc>
        <w:tc>
          <w:tcPr>
            <w:tcW w:w="1342" w:type="dxa"/>
            <w:shd w:val="clear" w:color="auto" w:fill="auto"/>
          </w:tcPr>
          <w:p w:rsidR="007F4CA9" w:rsidRDefault="007F4CA9">
            <w:pPr>
              <w:spacing w:after="0" w:line="240" w:lineRule="auto"/>
              <w:rPr>
                <w:rFonts w:ascii="Liberation Serif" w:eastAsia="SimSun" w:hAnsi="Liberation Serif" w:cs="Lucida Sans"/>
                <w:sz w:val="20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F4CA9" w:rsidRDefault="007F4CA9">
            <w:pPr>
              <w:spacing w:after="0" w:line="240" w:lineRule="auto"/>
              <w:rPr>
                <w:rFonts w:ascii="Liberation Serif" w:eastAsia="SimSun" w:hAnsi="Liberation Serif" w:cs="Lucida Sans"/>
                <w:sz w:val="20"/>
                <w:szCs w:val="24"/>
                <w:lang w:eastAsia="zh-CN" w:bidi="hi-IN"/>
              </w:rPr>
            </w:pPr>
          </w:p>
        </w:tc>
        <w:tc>
          <w:tcPr>
            <w:tcW w:w="1699" w:type="dxa"/>
            <w:shd w:val="clear" w:color="auto" w:fill="auto"/>
          </w:tcPr>
          <w:p w:rsidR="007F4CA9" w:rsidRDefault="007F4CA9">
            <w:pPr>
              <w:spacing w:after="0" w:line="240" w:lineRule="auto"/>
              <w:rPr>
                <w:rFonts w:ascii="Liberation Serif" w:eastAsia="SimSun" w:hAnsi="Liberation Serif" w:cs="Lucida Sans"/>
                <w:sz w:val="20"/>
                <w:szCs w:val="24"/>
                <w:lang w:eastAsia="zh-CN" w:bidi="hi-IN"/>
              </w:rPr>
            </w:pPr>
          </w:p>
        </w:tc>
      </w:tr>
      <w:tr w:rsidR="007F4CA9">
        <w:tc>
          <w:tcPr>
            <w:tcW w:w="539" w:type="dxa"/>
            <w:shd w:val="clear" w:color="auto" w:fill="auto"/>
          </w:tcPr>
          <w:p w:rsidR="007F4CA9" w:rsidRDefault="004E5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…</w:t>
            </w:r>
          </w:p>
        </w:tc>
        <w:tc>
          <w:tcPr>
            <w:tcW w:w="1270" w:type="dxa"/>
            <w:shd w:val="clear" w:color="auto" w:fill="auto"/>
          </w:tcPr>
          <w:p w:rsidR="007F4CA9" w:rsidRDefault="007F4CA9">
            <w:pPr>
              <w:spacing w:after="0" w:line="240" w:lineRule="auto"/>
              <w:rPr>
                <w:rFonts w:ascii="Liberation Serif" w:eastAsia="SimSun" w:hAnsi="Liberation Serif" w:cs="Lucida Sans"/>
                <w:sz w:val="20"/>
                <w:szCs w:val="24"/>
                <w:lang w:eastAsia="zh-CN" w:bidi="hi-IN"/>
              </w:rPr>
            </w:pPr>
          </w:p>
        </w:tc>
        <w:tc>
          <w:tcPr>
            <w:tcW w:w="849" w:type="dxa"/>
            <w:shd w:val="clear" w:color="auto" w:fill="auto"/>
          </w:tcPr>
          <w:p w:rsidR="007F4CA9" w:rsidRDefault="007F4CA9">
            <w:pPr>
              <w:spacing w:after="0" w:line="240" w:lineRule="auto"/>
              <w:rPr>
                <w:rFonts w:ascii="Liberation Serif" w:eastAsia="SimSun" w:hAnsi="Liberation Serif" w:cs="Lucida Sans"/>
                <w:sz w:val="20"/>
                <w:szCs w:val="24"/>
                <w:lang w:eastAsia="zh-CN" w:bidi="hi-IN"/>
              </w:rPr>
            </w:pPr>
          </w:p>
        </w:tc>
        <w:tc>
          <w:tcPr>
            <w:tcW w:w="1305" w:type="dxa"/>
            <w:shd w:val="clear" w:color="auto" w:fill="auto"/>
          </w:tcPr>
          <w:p w:rsidR="007F4CA9" w:rsidRDefault="007F4CA9">
            <w:pPr>
              <w:spacing w:after="0" w:line="240" w:lineRule="auto"/>
              <w:rPr>
                <w:rFonts w:ascii="Liberation Serif" w:eastAsia="SimSun" w:hAnsi="Liberation Serif" w:cs="Lucida Sans"/>
                <w:sz w:val="20"/>
                <w:szCs w:val="24"/>
                <w:lang w:eastAsia="zh-CN" w:bidi="hi-IN"/>
              </w:rPr>
            </w:pPr>
          </w:p>
        </w:tc>
        <w:tc>
          <w:tcPr>
            <w:tcW w:w="1040" w:type="dxa"/>
            <w:shd w:val="clear" w:color="auto" w:fill="auto"/>
          </w:tcPr>
          <w:p w:rsidR="007F4CA9" w:rsidRDefault="007F4CA9">
            <w:pPr>
              <w:spacing w:after="0" w:line="240" w:lineRule="auto"/>
              <w:rPr>
                <w:rFonts w:ascii="Liberation Serif" w:eastAsia="SimSun" w:hAnsi="Liberation Serif" w:cs="Lucida Sans"/>
                <w:sz w:val="20"/>
                <w:szCs w:val="24"/>
                <w:lang w:eastAsia="zh-CN" w:bidi="hi-IN"/>
              </w:rPr>
            </w:pPr>
          </w:p>
        </w:tc>
        <w:tc>
          <w:tcPr>
            <w:tcW w:w="1342" w:type="dxa"/>
            <w:shd w:val="clear" w:color="auto" w:fill="auto"/>
          </w:tcPr>
          <w:p w:rsidR="007F4CA9" w:rsidRDefault="007F4CA9">
            <w:pPr>
              <w:spacing w:after="0" w:line="240" w:lineRule="auto"/>
              <w:rPr>
                <w:rFonts w:ascii="Liberation Serif" w:eastAsia="SimSun" w:hAnsi="Liberation Serif" w:cs="Lucida Sans"/>
                <w:sz w:val="20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F4CA9" w:rsidRDefault="007F4CA9">
            <w:pPr>
              <w:spacing w:after="0" w:line="240" w:lineRule="auto"/>
              <w:rPr>
                <w:rFonts w:ascii="Liberation Serif" w:eastAsia="SimSun" w:hAnsi="Liberation Serif" w:cs="Lucida Sans"/>
                <w:sz w:val="20"/>
                <w:szCs w:val="24"/>
                <w:lang w:eastAsia="zh-CN" w:bidi="hi-IN"/>
              </w:rPr>
            </w:pPr>
          </w:p>
        </w:tc>
        <w:tc>
          <w:tcPr>
            <w:tcW w:w="1699" w:type="dxa"/>
            <w:shd w:val="clear" w:color="auto" w:fill="auto"/>
          </w:tcPr>
          <w:p w:rsidR="007F4CA9" w:rsidRDefault="007F4CA9">
            <w:pPr>
              <w:spacing w:after="0" w:line="240" w:lineRule="auto"/>
              <w:rPr>
                <w:rFonts w:ascii="Liberation Serif" w:eastAsia="SimSun" w:hAnsi="Liberation Serif" w:cs="Lucida Sans"/>
                <w:sz w:val="20"/>
                <w:szCs w:val="24"/>
                <w:lang w:eastAsia="zh-CN" w:bidi="hi-IN"/>
              </w:rPr>
            </w:pPr>
          </w:p>
        </w:tc>
      </w:tr>
    </w:tbl>
    <w:p w:rsidR="007F4CA9" w:rsidRDefault="007F4CA9">
      <w:pPr>
        <w:rPr>
          <w:rFonts w:ascii="Times New Roman" w:hAnsi="Times New Roman" w:cs="Times New Roman"/>
          <w:sz w:val="28"/>
          <w:szCs w:val="28"/>
        </w:rPr>
      </w:pPr>
    </w:p>
    <w:p w:rsidR="007F4CA9" w:rsidRDefault="007F4CA9">
      <w:pPr>
        <w:rPr>
          <w:rFonts w:ascii="Times New Roman" w:hAnsi="Times New Roman" w:cs="Times New Roman"/>
          <w:sz w:val="28"/>
          <w:szCs w:val="28"/>
        </w:rPr>
      </w:pPr>
    </w:p>
    <w:p w:rsidR="007F4CA9" w:rsidRDefault="004E52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7F4CA9" w:rsidRDefault="004E52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 на участие в смотре – конкурсе.</w:t>
      </w: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5070"/>
        <w:gridCol w:w="4501"/>
      </w:tblGrid>
      <w:tr w:rsidR="007F4CA9">
        <w:tc>
          <w:tcPr>
            <w:tcW w:w="5069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  <w:t xml:space="preserve">Фамилия, имя, </w:t>
            </w:r>
            <w:proofErr w:type="gramStart"/>
            <w:r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  <w:t>отчество  участника</w:t>
            </w:r>
            <w:proofErr w:type="gramEnd"/>
          </w:p>
          <w:p w:rsidR="007F4CA9" w:rsidRDefault="004E52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  <w:t>(</w:t>
            </w:r>
            <w:proofErr w:type="gramStart"/>
            <w:r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  <w:t>участников</w:t>
            </w:r>
            <w:proofErr w:type="gramEnd"/>
            <w:r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  <w:t>)</w:t>
            </w:r>
          </w:p>
          <w:p w:rsidR="007F4CA9" w:rsidRDefault="007F4CA9">
            <w:pPr>
              <w:spacing w:after="0" w:line="240" w:lineRule="auto"/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4501" w:type="dxa"/>
            <w:shd w:val="clear" w:color="auto" w:fill="auto"/>
          </w:tcPr>
          <w:p w:rsidR="007F4CA9" w:rsidRDefault="007F4CA9">
            <w:pPr>
              <w:spacing w:after="0" w:line="240" w:lineRule="auto"/>
              <w:jc w:val="both"/>
              <w:rPr>
                <w:rFonts w:ascii="Liberation Serif" w:eastAsia="SimSun" w:hAnsi="Liberation Serif" w:cs="Lucida Sans"/>
                <w:sz w:val="20"/>
                <w:szCs w:val="24"/>
                <w:lang w:eastAsia="zh-CN" w:bidi="hi-IN"/>
              </w:rPr>
            </w:pPr>
          </w:p>
        </w:tc>
      </w:tr>
      <w:tr w:rsidR="007F4CA9">
        <w:tc>
          <w:tcPr>
            <w:tcW w:w="5069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  <w:t>Наименование  образовательной</w:t>
            </w:r>
            <w:proofErr w:type="gramEnd"/>
            <w:r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  <w:t xml:space="preserve"> организации (полное)</w:t>
            </w:r>
          </w:p>
          <w:p w:rsidR="007F4CA9" w:rsidRDefault="007F4CA9">
            <w:pPr>
              <w:spacing w:after="0" w:line="240" w:lineRule="auto"/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4501" w:type="dxa"/>
            <w:shd w:val="clear" w:color="auto" w:fill="auto"/>
          </w:tcPr>
          <w:p w:rsidR="007F4CA9" w:rsidRDefault="007F4CA9">
            <w:pPr>
              <w:spacing w:after="0" w:line="240" w:lineRule="auto"/>
              <w:jc w:val="both"/>
              <w:rPr>
                <w:rFonts w:ascii="Liberation Serif" w:eastAsia="SimSun" w:hAnsi="Liberation Serif" w:cs="Lucida Sans"/>
                <w:sz w:val="20"/>
                <w:szCs w:val="24"/>
                <w:lang w:eastAsia="zh-CN" w:bidi="hi-IN"/>
              </w:rPr>
            </w:pPr>
          </w:p>
        </w:tc>
      </w:tr>
      <w:tr w:rsidR="007F4CA9">
        <w:tc>
          <w:tcPr>
            <w:tcW w:w="5069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  <w:t>Учебные дисциплины, МДК, ПМ, по которым представлена методразработка</w:t>
            </w:r>
          </w:p>
          <w:p w:rsidR="007F4CA9" w:rsidRDefault="007F4CA9">
            <w:pPr>
              <w:spacing w:after="0" w:line="240" w:lineRule="auto"/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4501" w:type="dxa"/>
            <w:shd w:val="clear" w:color="auto" w:fill="auto"/>
          </w:tcPr>
          <w:p w:rsidR="007F4CA9" w:rsidRDefault="007F4CA9">
            <w:pPr>
              <w:spacing w:after="0" w:line="240" w:lineRule="auto"/>
              <w:jc w:val="both"/>
              <w:rPr>
                <w:rFonts w:ascii="Liberation Serif" w:eastAsia="SimSun" w:hAnsi="Liberation Serif" w:cs="Lucida Sans"/>
                <w:sz w:val="20"/>
                <w:szCs w:val="24"/>
                <w:lang w:eastAsia="zh-CN" w:bidi="hi-IN"/>
              </w:rPr>
            </w:pPr>
          </w:p>
        </w:tc>
      </w:tr>
      <w:tr w:rsidR="007F4CA9">
        <w:tc>
          <w:tcPr>
            <w:tcW w:w="5069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  <w:t>Название  методразработки</w:t>
            </w:r>
            <w:proofErr w:type="gramEnd"/>
            <w:r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  <w:t xml:space="preserve"> бинарного (интегрированного) занятия</w:t>
            </w:r>
          </w:p>
          <w:p w:rsidR="007F4CA9" w:rsidRDefault="007F4CA9">
            <w:pPr>
              <w:spacing w:after="0" w:line="240" w:lineRule="auto"/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4501" w:type="dxa"/>
            <w:shd w:val="clear" w:color="auto" w:fill="auto"/>
          </w:tcPr>
          <w:p w:rsidR="007F4CA9" w:rsidRDefault="007F4CA9">
            <w:pPr>
              <w:spacing w:after="0" w:line="240" w:lineRule="auto"/>
              <w:jc w:val="both"/>
              <w:rPr>
                <w:rFonts w:ascii="Liberation Serif" w:eastAsia="SimSun" w:hAnsi="Liberation Serif" w:cs="Lucida Sans"/>
                <w:sz w:val="20"/>
                <w:szCs w:val="24"/>
                <w:lang w:eastAsia="zh-CN" w:bidi="hi-IN"/>
              </w:rPr>
            </w:pPr>
          </w:p>
        </w:tc>
      </w:tr>
      <w:tr w:rsidR="007F4CA9">
        <w:tc>
          <w:tcPr>
            <w:tcW w:w="5069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  <w:t>Контактные  телефоны</w:t>
            </w:r>
            <w:proofErr w:type="gramEnd"/>
          </w:p>
          <w:p w:rsidR="007F4CA9" w:rsidRDefault="007F4CA9">
            <w:pPr>
              <w:spacing w:after="0" w:line="240" w:lineRule="auto"/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4501" w:type="dxa"/>
            <w:shd w:val="clear" w:color="auto" w:fill="auto"/>
          </w:tcPr>
          <w:p w:rsidR="007F4CA9" w:rsidRDefault="007F4CA9">
            <w:pPr>
              <w:spacing w:after="0" w:line="240" w:lineRule="auto"/>
              <w:jc w:val="both"/>
              <w:rPr>
                <w:rFonts w:ascii="Liberation Serif" w:eastAsia="SimSun" w:hAnsi="Liberation Serif" w:cs="Lucida Sans"/>
                <w:sz w:val="20"/>
                <w:szCs w:val="24"/>
                <w:lang w:eastAsia="zh-CN" w:bidi="hi-IN"/>
              </w:rPr>
            </w:pPr>
          </w:p>
        </w:tc>
      </w:tr>
      <w:tr w:rsidR="007F4CA9">
        <w:tc>
          <w:tcPr>
            <w:tcW w:w="5069" w:type="dxa"/>
            <w:shd w:val="clear" w:color="auto" w:fill="auto"/>
            <w:vAlign w:val="center"/>
          </w:tcPr>
          <w:p w:rsidR="007F4CA9" w:rsidRDefault="004E5224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  <w:t>Электронный  адрес</w:t>
            </w:r>
            <w:proofErr w:type="gramEnd"/>
            <w:r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  <w:t xml:space="preserve">, на </w:t>
            </w:r>
            <w:r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  <w:t>который будут высылаться  результаты  смотра-конкурса</w:t>
            </w:r>
          </w:p>
          <w:p w:rsidR="007F4CA9" w:rsidRDefault="007F4CA9">
            <w:pPr>
              <w:spacing w:after="0" w:line="240" w:lineRule="auto"/>
              <w:rPr>
                <w:rFonts w:ascii="Liberation Serif" w:eastAsia="SimSun" w:hAnsi="Liberation Serif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4501" w:type="dxa"/>
            <w:shd w:val="clear" w:color="auto" w:fill="auto"/>
          </w:tcPr>
          <w:p w:rsidR="007F4CA9" w:rsidRDefault="007F4CA9">
            <w:pPr>
              <w:spacing w:after="0" w:line="240" w:lineRule="auto"/>
              <w:jc w:val="both"/>
              <w:rPr>
                <w:rFonts w:ascii="Liberation Serif" w:eastAsia="SimSun" w:hAnsi="Liberation Serif" w:cs="Lucida Sans"/>
                <w:sz w:val="20"/>
                <w:szCs w:val="24"/>
                <w:lang w:eastAsia="zh-CN" w:bidi="hi-IN"/>
              </w:rPr>
            </w:pPr>
          </w:p>
        </w:tc>
      </w:tr>
    </w:tbl>
    <w:p w:rsidR="007F4CA9" w:rsidRDefault="007F4CA9">
      <w:pPr>
        <w:rPr>
          <w:rFonts w:ascii="Times New Roman" w:hAnsi="Times New Roman" w:cs="Times New Roman"/>
          <w:b/>
          <w:sz w:val="28"/>
          <w:szCs w:val="28"/>
        </w:rPr>
      </w:pPr>
    </w:p>
    <w:p w:rsidR="007F4CA9" w:rsidRDefault="007F4CA9"/>
    <w:sectPr w:rsidR="007F4CA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0000000000000000000"/>
    <w:charset w:val="00"/>
    <w:family w:val="roman"/>
    <w:notTrueType/>
    <w:pitch w:val="default"/>
  </w:font>
  <w:font w:name="Times New Roman Полужирный">
    <w:panose1 w:val="020208030705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28EA"/>
    <w:multiLevelType w:val="multilevel"/>
    <w:tmpl w:val="AFA6F7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0D7FB2"/>
    <w:multiLevelType w:val="multilevel"/>
    <w:tmpl w:val="41A25B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494E6B"/>
    <w:multiLevelType w:val="multilevel"/>
    <w:tmpl w:val="6EB8E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600642A"/>
    <w:multiLevelType w:val="multilevel"/>
    <w:tmpl w:val="D610B4B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977477"/>
    <w:multiLevelType w:val="multilevel"/>
    <w:tmpl w:val="959296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A9"/>
    <w:rsid w:val="004E5224"/>
    <w:rsid w:val="007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BFB5-4A9C-42A1-A704-3923CF29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F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qFormat/>
    <w:rsid w:val="00A806FC"/>
  </w:style>
  <w:style w:type="character" w:customStyle="1" w:styleId="c5">
    <w:name w:val="c5"/>
    <w:basedOn w:val="a0"/>
    <w:qFormat/>
    <w:rsid w:val="00A806FC"/>
  </w:style>
  <w:style w:type="character" w:styleId="a3">
    <w:name w:val="Emphasis"/>
    <w:basedOn w:val="a0"/>
    <w:uiPriority w:val="20"/>
    <w:qFormat/>
    <w:rsid w:val="00A806FC"/>
    <w:rPr>
      <w:i/>
      <w:iCs/>
    </w:rPr>
  </w:style>
  <w:style w:type="character" w:styleId="a4">
    <w:name w:val="Strong"/>
    <w:basedOn w:val="a0"/>
    <w:uiPriority w:val="22"/>
    <w:qFormat/>
    <w:rsid w:val="00A502E1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8"/>
      <w:szCs w:val="28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ascii="Times New Roman" w:hAnsi="Times New Roman"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Wingdings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Wingdings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9162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qFormat/>
    <w:rsid w:val="00A806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qFormat/>
    <w:rsid w:val="00A806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qFormat/>
    <w:rsid w:val="00A806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qFormat/>
    <w:rsid w:val="00A806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74AA3"/>
    <w:pPr>
      <w:widowControl w:val="0"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qFormat/>
    <w:rsid w:val="00C002F0"/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91629B"/>
    <w:rPr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169A-DB14-4395-B0CC-617F4A4F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Пользователь Windows</cp:lastModifiedBy>
  <cp:revision>2</cp:revision>
  <cp:lastPrinted>2020-11-05T11:23:00Z</cp:lastPrinted>
  <dcterms:created xsi:type="dcterms:W3CDTF">2020-11-11T07:12:00Z</dcterms:created>
  <dcterms:modified xsi:type="dcterms:W3CDTF">2020-11-11T07:12:00Z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